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FE38F5" w:rsidP="00FE38F5"/>
    <w:p w:rsidR="00FE38F5" w:rsidRPr="00FE38F5" w:rsidRDefault="00FE38F5" w:rsidP="00FE38F5">
      <w:pPr>
        <w:ind w:right="-1"/>
        <w:jc w:val="right"/>
      </w:pPr>
    </w:p>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600CAE" w:rsidRPr="006A787A" w:rsidRDefault="00A013B0" w:rsidP="00B96B01">
      <w:pPr>
        <w:autoSpaceDE w:val="0"/>
        <w:autoSpaceDN w:val="0"/>
        <w:spacing w:before="120"/>
        <w:jc w:val="both"/>
        <w:rPr>
          <w:iCs/>
          <w:sz w:val="20"/>
          <w:szCs w:val="20"/>
        </w:rPr>
      </w:pPr>
      <w:r>
        <w:rPr>
          <w:sz w:val="24"/>
          <w:szCs w:val="24"/>
        </w:rPr>
        <w:tab/>
      </w:r>
      <w:proofErr w:type="gramStart"/>
      <w:r>
        <w:rPr>
          <w:sz w:val="24"/>
          <w:szCs w:val="24"/>
        </w:rPr>
        <w:t xml:space="preserve">Настоящим Управление организации деятельности администрации Нижневартовского района </w:t>
      </w:r>
      <w:r w:rsidR="00600CAE" w:rsidRPr="006A787A">
        <w:rPr>
          <w:sz w:val="24"/>
          <w:szCs w:val="24"/>
        </w:rPr>
        <w:t xml:space="preserve">извещает о начале обсуждения муниципального нормативного правового акта и сборе предложений заинтересованных лиц по </w:t>
      </w:r>
      <w:r>
        <w:rPr>
          <w:sz w:val="24"/>
          <w:szCs w:val="24"/>
        </w:rPr>
        <w:t>п</w:t>
      </w:r>
      <w:r w:rsidRPr="00A013B0">
        <w:rPr>
          <w:sz w:val="24"/>
          <w:szCs w:val="24"/>
        </w:rPr>
        <w:t>остановлени</w:t>
      </w:r>
      <w:r>
        <w:rPr>
          <w:sz w:val="24"/>
          <w:szCs w:val="24"/>
        </w:rPr>
        <w:t>ю</w:t>
      </w:r>
      <w:r w:rsidRPr="00A013B0">
        <w:rPr>
          <w:sz w:val="24"/>
          <w:szCs w:val="24"/>
        </w:rPr>
        <w:t xml:space="preserve"> администрации Нижневартовского района от 26.10.2018 № 2430 «Об утверждении муниципальной программы «Развитие гра</w:t>
      </w:r>
      <w:r w:rsidRPr="00A013B0">
        <w:rPr>
          <w:sz w:val="24"/>
          <w:szCs w:val="24"/>
        </w:rPr>
        <w:t>ж</w:t>
      </w:r>
      <w:r w:rsidRPr="00A013B0">
        <w:rPr>
          <w:sz w:val="24"/>
          <w:szCs w:val="24"/>
        </w:rPr>
        <w:t>данского общества Нижневартовского района»</w:t>
      </w:r>
      <w:r>
        <w:rPr>
          <w:sz w:val="24"/>
          <w:szCs w:val="24"/>
        </w:rPr>
        <w:t>.</w:t>
      </w:r>
      <w:proofErr w:type="gramEnd"/>
    </w:p>
    <w:p w:rsidR="00A013B0" w:rsidRDefault="00600CAE" w:rsidP="00B96B01">
      <w:pPr>
        <w:tabs>
          <w:tab w:val="right" w:pos="9923"/>
        </w:tabs>
        <w:autoSpaceDE w:val="0"/>
        <w:autoSpaceDN w:val="0"/>
        <w:spacing w:before="120"/>
        <w:ind w:firstLine="567"/>
        <w:jc w:val="both"/>
        <w:rPr>
          <w:sz w:val="24"/>
          <w:szCs w:val="24"/>
        </w:rPr>
      </w:pPr>
      <w:r w:rsidRPr="006A787A">
        <w:rPr>
          <w:sz w:val="24"/>
          <w:szCs w:val="24"/>
        </w:rPr>
        <w:t xml:space="preserve">Предложения принимаются по адресу: </w:t>
      </w:r>
      <w:r w:rsidR="00A013B0">
        <w:rPr>
          <w:sz w:val="24"/>
          <w:szCs w:val="24"/>
        </w:rPr>
        <w:t>6286</w:t>
      </w:r>
      <w:r w:rsidR="00A013B0" w:rsidRPr="00612A7F">
        <w:rPr>
          <w:sz w:val="24"/>
          <w:szCs w:val="24"/>
        </w:rPr>
        <w:t>16</w:t>
      </w:r>
      <w:r w:rsidR="00A013B0" w:rsidRPr="00776E44">
        <w:rPr>
          <w:sz w:val="24"/>
          <w:szCs w:val="24"/>
        </w:rPr>
        <w:t xml:space="preserve">, Ханты-Мансийский автономный округ – Югра, г. Нижневартовск, </w:t>
      </w:r>
      <w:r w:rsidR="00A013B0" w:rsidRPr="00497AB3">
        <w:rPr>
          <w:sz w:val="24"/>
          <w:szCs w:val="24"/>
        </w:rPr>
        <w:t>ул.</w:t>
      </w:r>
      <w:r w:rsidR="00A013B0" w:rsidRPr="00612A7F">
        <w:rPr>
          <w:sz w:val="24"/>
          <w:szCs w:val="24"/>
        </w:rPr>
        <w:t xml:space="preserve"> </w:t>
      </w:r>
      <w:r w:rsidR="00A013B0">
        <w:rPr>
          <w:sz w:val="24"/>
          <w:szCs w:val="24"/>
        </w:rPr>
        <w:t xml:space="preserve">Ленина, 6, </w:t>
      </w:r>
      <w:proofErr w:type="spellStart"/>
      <w:r w:rsidR="00A013B0">
        <w:rPr>
          <w:sz w:val="24"/>
          <w:szCs w:val="24"/>
        </w:rPr>
        <w:t>каб</w:t>
      </w:r>
      <w:proofErr w:type="spellEnd"/>
      <w:r w:rsidR="00A013B0">
        <w:rPr>
          <w:sz w:val="24"/>
          <w:szCs w:val="24"/>
        </w:rPr>
        <w:t>. 101</w:t>
      </w:r>
      <w:r w:rsidRPr="006A787A">
        <w:rPr>
          <w:sz w:val="24"/>
          <w:szCs w:val="24"/>
        </w:rPr>
        <w:t>,</w:t>
      </w:r>
      <w:r w:rsidR="00A013B0">
        <w:rPr>
          <w:sz w:val="24"/>
          <w:szCs w:val="24"/>
        </w:rPr>
        <w:t xml:space="preserve"> </w:t>
      </w:r>
    </w:p>
    <w:p w:rsidR="00600CAE" w:rsidRPr="00A013B0" w:rsidRDefault="00600CAE" w:rsidP="00B96B01">
      <w:pPr>
        <w:tabs>
          <w:tab w:val="right" w:pos="9923"/>
        </w:tabs>
        <w:autoSpaceDE w:val="0"/>
        <w:autoSpaceDN w:val="0"/>
        <w:ind w:firstLine="567"/>
        <w:jc w:val="both"/>
        <w:rPr>
          <w:sz w:val="24"/>
          <w:szCs w:val="24"/>
        </w:rPr>
      </w:pPr>
      <w:r w:rsidRPr="006A787A">
        <w:rPr>
          <w:sz w:val="24"/>
          <w:szCs w:val="24"/>
        </w:rPr>
        <w:t>а также по адресу электронной почты:</w:t>
      </w:r>
      <w:proofErr w:type="spellStart"/>
      <w:r w:rsidR="00A013B0" w:rsidRPr="00B96B01">
        <w:rPr>
          <w:sz w:val="24"/>
          <w:szCs w:val="24"/>
          <w:lang w:val="en-US"/>
        </w:rPr>
        <w:t>ShkunovaNV</w:t>
      </w:r>
      <w:proofErr w:type="spellEnd"/>
      <w:r w:rsidR="00A013B0" w:rsidRPr="00B96B01">
        <w:rPr>
          <w:sz w:val="24"/>
          <w:szCs w:val="24"/>
        </w:rPr>
        <w:t>@</w:t>
      </w:r>
      <w:proofErr w:type="spellStart"/>
      <w:r w:rsidR="00A013B0" w:rsidRPr="00B96B01">
        <w:rPr>
          <w:sz w:val="24"/>
          <w:szCs w:val="24"/>
          <w:lang w:val="en-US"/>
        </w:rPr>
        <w:t>nvraion</w:t>
      </w:r>
      <w:proofErr w:type="spellEnd"/>
      <w:r w:rsidR="00A013B0" w:rsidRPr="00B96B01">
        <w:rPr>
          <w:sz w:val="24"/>
          <w:szCs w:val="24"/>
        </w:rPr>
        <w:t>.</w:t>
      </w:r>
      <w:proofErr w:type="spellStart"/>
      <w:r w:rsidR="00A013B0" w:rsidRPr="00B96B01">
        <w:rPr>
          <w:sz w:val="24"/>
          <w:szCs w:val="24"/>
          <w:lang w:val="en-US"/>
        </w:rPr>
        <w:t>ru</w:t>
      </w:r>
      <w:proofErr w:type="spellEnd"/>
      <w:r w:rsidR="00A013B0" w:rsidRPr="00B96B01">
        <w:rPr>
          <w:sz w:val="24"/>
          <w:szCs w:val="24"/>
        </w:rPr>
        <w:t>.</w:t>
      </w:r>
    </w:p>
    <w:p w:rsidR="00A013B0" w:rsidRDefault="00600CAE" w:rsidP="00B96B01">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консультаций:</w:t>
      </w:r>
      <w:r w:rsidR="00A013B0" w:rsidRPr="00A013B0">
        <w:rPr>
          <w:sz w:val="24"/>
          <w:szCs w:val="24"/>
        </w:rPr>
        <w:t xml:space="preserve"> </w:t>
      </w:r>
    </w:p>
    <w:p w:rsidR="00600CAE" w:rsidRPr="00A013B0" w:rsidRDefault="00A013B0" w:rsidP="00A013B0">
      <w:pPr>
        <w:autoSpaceDE w:val="0"/>
        <w:autoSpaceDN w:val="0"/>
        <w:ind w:firstLine="567"/>
        <w:jc w:val="both"/>
        <w:rPr>
          <w:sz w:val="24"/>
          <w:szCs w:val="24"/>
        </w:rPr>
      </w:pPr>
      <w:r w:rsidRPr="00A013B0">
        <w:rPr>
          <w:sz w:val="24"/>
          <w:szCs w:val="24"/>
        </w:rPr>
        <w:t>главный специалист отдела организационной работы, обращений граждан и юридич</w:t>
      </w:r>
      <w:r w:rsidRPr="00A013B0">
        <w:rPr>
          <w:sz w:val="24"/>
          <w:szCs w:val="24"/>
        </w:rPr>
        <w:t>е</w:t>
      </w:r>
      <w:r w:rsidRPr="00A013B0">
        <w:rPr>
          <w:sz w:val="24"/>
          <w:szCs w:val="24"/>
        </w:rPr>
        <w:t>ских лиц управления организации деятельности администрации района</w:t>
      </w:r>
      <w:r>
        <w:rPr>
          <w:sz w:val="24"/>
          <w:szCs w:val="24"/>
        </w:rPr>
        <w:t>,</w:t>
      </w:r>
      <w:r w:rsidRPr="00A013B0">
        <w:rPr>
          <w:sz w:val="24"/>
          <w:szCs w:val="24"/>
        </w:rPr>
        <w:t xml:space="preserve"> Шкунова Наталья Владимировна, т. 8(3466) 49-84-19</w:t>
      </w:r>
      <w:r>
        <w:rPr>
          <w:sz w:val="24"/>
          <w:szCs w:val="24"/>
        </w:rPr>
        <w:t>.</w:t>
      </w:r>
    </w:p>
    <w:p w:rsidR="00600CAE" w:rsidRPr="006A787A" w:rsidRDefault="00600CAE" w:rsidP="00600CAE">
      <w:pPr>
        <w:autoSpaceDE w:val="0"/>
        <w:autoSpaceDN w:val="0"/>
        <w:spacing w:before="120"/>
        <w:ind w:left="567"/>
        <w:rPr>
          <w:sz w:val="24"/>
          <w:szCs w:val="24"/>
        </w:rPr>
      </w:pPr>
      <w:r w:rsidRPr="006A787A">
        <w:rPr>
          <w:sz w:val="24"/>
          <w:szCs w:val="24"/>
        </w:rPr>
        <w:t>Сроки приема предложений: с «</w:t>
      </w:r>
      <w:r w:rsidR="00A013B0">
        <w:rPr>
          <w:sz w:val="24"/>
          <w:szCs w:val="24"/>
        </w:rPr>
        <w:t>01</w:t>
      </w:r>
      <w:r w:rsidRPr="006A787A">
        <w:rPr>
          <w:sz w:val="24"/>
          <w:szCs w:val="24"/>
        </w:rPr>
        <w:t>»</w:t>
      </w:r>
      <w:r w:rsidR="00E613E1">
        <w:rPr>
          <w:sz w:val="24"/>
          <w:szCs w:val="24"/>
        </w:rPr>
        <w:t xml:space="preserve"> </w:t>
      </w:r>
      <w:r w:rsidR="00A013B0">
        <w:rPr>
          <w:sz w:val="24"/>
          <w:szCs w:val="24"/>
        </w:rPr>
        <w:t xml:space="preserve">марта 2019 </w:t>
      </w:r>
      <w:r w:rsidRPr="006A787A">
        <w:rPr>
          <w:sz w:val="24"/>
          <w:szCs w:val="24"/>
        </w:rPr>
        <w:t>г.  по «</w:t>
      </w:r>
      <w:r w:rsidR="00397896">
        <w:rPr>
          <w:sz w:val="24"/>
          <w:szCs w:val="24"/>
        </w:rPr>
        <w:t>05</w:t>
      </w:r>
      <w:r w:rsidRPr="006A787A">
        <w:rPr>
          <w:sz w:val="24"/>
          <w:szCs w:val="24"/>
        </w:rPr>
        <w:t>»</w:t>
      </w:r>
      <w:r w:rsidR="00A013B0" w:rsidRPr="00A013B0">
        <w:rPr>
          <w:sz w:val="24"/>
          <w:szCs w:val="24"/>
        </w:rPr>
        <w:t xml:space="preserve"> </w:t>
      </w:r>
      <w:r w:rsidR="00397896">
        <w:rPr>
          <w:sz w:val="24"/>
          <w:szCs w:val="24"/>
        </w:rPr>
        <w:t>апреля</w:t>
      </w:r>
      <w:r w:rsidR="00A013B0">
        <w:rPr>
          <w:sz w:val="24"/>
          <w:szCs w:val="24"/>
        </w:rPr>
        <w:t xml:space="preserve"> 2019 </w:t>
      </w:r>
      <w:r w:rsidRPr="006A787A">
        <w:rPr>
          <w:sz w:val="24"/>
          <w:szCs w:val="24"/>
        </w:rPr>
        <w:t>г.</w:t>
      </w:r>
    </w:p>
    <w:p w:rsidR="00600CAE" w:rsidRPr="006A787A" w:rsidRDefault="00600CAE" w:rsidP="00600CAE">
      <w:pPr>
        <w:autoSpaceDE w:val="0"/>
        <w:autoSpaceDN w:val="0"/>
        <w:ind w:firstLine="567"/>
        <w:jc w:val="both"/>
        <w:rPr>
          <w:sz w:val="24"/>
          <w:szCs w:val="24"/>
        </w:rPr>
      </w:pPr>
    </w:p>
    <w:p w:rsidR="00600CAE" w:rsidRPr="006A787A" w:rsidRDefault="00600CAE" w:rsidP="00600CAE">
      <w:pPr>
        <w:autoSpaceDE w:val="0"/>
        <w:autoSpaceDN w:val="0"/>
        <w:ind w:firstLine="567"/>
        <w:jc w:val="both"/>
        <w:rPr>
          <w:i/>
          <w:sz w:val="24"/>
          <w:szCs w:val="24"/>
        </w:rPr>
      </w:pPr>
      <w:r w:rsidRPr="006A787A">
        <w:rPr>
          <w:sz w:val="24"/>
          <w:szCs w:val="24"/>
        </w:rPr>
        <w:t>Место размещения уведомления о проведении публичных консультаций по муниц</w:t>
      </w:r>
      <w:r w:rsidRPr="006A787A">
        <w:rPr>
          <w:sz w:val="24"/>
          <w:szCs w:val="24"/>
        </w:rPr>
        <w:t>и</w:t>
      </w:r>
      <w:r w:rsidRPr="006A787A">
        <w:rPr>
          <w:sz w:val="24"/>
          <w:szCs w:val="24"/>
        </w:rPr>
        <w:t xml:space="preserve">пального нормативному правовому акту в информационно-телекоммуникационной сети «Интернет»: </w:t>
      </w:r>
      <w:r w:rsidR="00A013B0" w:rsidRPr="00A50B3C">
        <w:rPr>
          <w:sz w:val="24"/>
          <w:szCs w:val="24"/>
        </w:rPr>
        <w:t>на сайте</w:t>
      </w:r>
      <w:r w:rsidR="00A013B0">
        <w:t xml:space="preserve"> </w:t>
      </w:r>
      <w:hyperlink r:id="rId8" w:history="1">
        <w:r w:rsidR="00A013B0" w:rsidRPr="00A013B0">
          <w:rPr>
            <w:sz w:val="24"/>
            <w:szCs w:val="24"/>
          </w:rPr>
          <w:t>http://regulation.admhmao.ru</w:t>
        </w:r>
      </w:hyperlink>
      <w:r w:rsidRPr="00A013B0">
        <w:rPr>
          <w:sz w:val="24"/>
          <w:szCs w:val="24"/>
        </w:rPr>
        <w:t>.</w:t>
      </w:r>
    </w:p>
    <w:p w:rsidR="00600CAE" w:rsidRPr="006A787A" w:rsidRDefault="00600CAE" w:rsidP="00600CAE">
      <w:pPr>
        <w:autoSpaceDE w:val="0"/>
        <w:autoSpaceDN w:val="0"/>
        <w:spacing w:before="240"/>
        <w:jc w:val="both"/>
        <w:rPr>
          <w:sz w:val="24"/>
          <w:szCs w:val="24"/>
        </w:rPr>
      </w:pPr>
      <w:r w:rsidRPr="006A787A">
        <w:rPr>
          <w:sz w:val="24"/>
          <w:szCs w:val="24"/>
        </w:rPr>
        <w:t>1. Описание проблемы, на решение которой направлено правовое регулирование:</w:t>
      </w:r>
    </w:p>
    <w:p w:rsidR="00B96B01" w:rsidRPr="004F479D" w:rsidRDefault="00B96B01" w:rsidP="00B96B01">
      <w:pPr>
        <w:ind w:firstLine="709"/>
        <w:contextualSpacing/>
        <w:jc w:val="both"/>
        <w:rPr>
          <w:sz w:val="24"/>
          <w:szCs w:val="24"/>
        </w:rPr>
      </w:pPr>
      <w:proofErr w:type="gramStart"/>
      <w:r w:rsidRPr="00AD32D6">
        <w:rPr>
          <w:sz w:val="24"/>
          <w:szCs w:val="24"/>
        </w:rPr>
        <w:t>Постановление</w:t>
      </w:r>
      <w:r w:rsidRPr="004F479D">
        <w:rPr>
          <w:sz w:val="24"/>
          <w:szCs w:val="24"/>
        </w:rPr>
        <w:t xml:space="preserve"> </w:t>
      </w:r>
      <w:r w:rsidRPr="00AD32D6">
        <w:rPr>
          <w:sz w:val="24"/>
          <w:szCs w:val="24"/>
        </w:rPr>
        <w:t xml:space="preserve">администрации района </w:t>
      </w:r>
      <w:r w:rsidRPr="00A013B0">
        <w:rPr>
          <w:sz w:val="24"/>
          <w:szCs w:val="24"/>
        </w:rPr>
        <w:t>от 26.10.2018 № 2430 «Об утверждении мун</w:t>
      </w:r>
      <w:r w:rsidRPr="00A013B0">
        <w:rPr>
          <w:sz w:val="24"/>
          <w:szCs w:val="24"/>
        </w:rPr>
        <w:t>и</w:t>
      </w:r>
      <w:r w:rsidRPr="00A013B0">
        <w:rPr>
          <w:sz w:val="24"/>
          <w:szCs w:val="24"/>
        </w:rPr>
        <w:t>ципальной программы «Развитие гражданского общества Нижневартовского района»</w:t>
      </w:r>
      <w:r>
        <w:rPr>
          <w:sz w:val="24"/>
          <w:szCs w:val="24"/>
        </w:rPr>
        <w:t xml:space="preserve"> </w:t>
      </w:r>
      <w:r w:rsidRPr="004F479D">
        <w:rPr>
          <w:sz w:val="24"/>
          <w:szCs w:val="24"/>
        </w:rPr>
        <w:t>утве</w:t>
      </w:r>
      <w:r w:rsidRPr="004F479D">
        <w:rPr>
          <w:sz w:val="24"/>
          <w:szCs w:val="24"/>
        </w:rPr>
        <w:t>р</w:t>
      </w:r>
      <w:r w:rsidRPr="004F479D">
        <w:rPr>
          <w:sz w:val="24"/>
          <w:szCs w:val="24"/>
        </w:rPr>
        <w:t xml:space="preserve">ждает </w:t>
      </w:r>
      <w:r>
        <w:rPr>
          <w:sz w:val="24"/>
          <w:szCs w:val="24"/>
        </w:rPr>
        <w:t>Порядок</w:t>
      </w:r>
      <w:r w:rsidRPr="004D5142">
        <w:rPr>
          <w:sz w:val="24"/>
          <w:szCs w:val="24"/>
        </w:rPr>
        <w:t xml:space="preserve"> определения объема и предоставления субсидий из бюджета Нижневарто</w:t>
      </w:r>
      <w:r w:rsidRPr="004D5142">
        <w:rPr>
          <w:sz w:val="24"/>
          <w:szCs w:val="24"/>
        </w:rPr>
        <w:t>в</w:t>
      </w:r>
      <w:r w:rsidRPr="004D5142">
        <w:rPr>
          <w:sz w:val="24"/>
          <w:szCs w:val="24"/>
        </w:rPr>
        <w:t>ского района социально ориентированным некоммерческим организациям, не являющимся</w:t>
      </w:r>
      <w:proofErr w:type="gramEnd"/>
      <w:r w:rsidRPr="004D5142">
        <w:rPr>
          <w:sz w:val="24"/>
          <w:szCs w:val="24"/>
        </w:rPr>
        <w:t xml:space="preserve"> государственными (муниципальными) учреждениями</w:t>
      </w:r>
      <w:r w:rsidR="00E754B8">
        <w:rPr>
          <w:sz w:val="24"/>
          <w:szCs w:val="24"/>
        </w:rPr>
        <w:t xml:space="preserve"> (далее – Порядок)</w:t>
      </w:r>
      <w:r w:rsidRPr="004F479D">
        <w:rPr>
          <w:sz w:val="24"/>
          <w:szCs w:val="24"/>
        </w:rPr>
        <w:t>, на реализацию пр</w:t>
      </w:r>
      <w:r w:rsidRPr="004F479D">
        <w:rPr>
          <w:sz w:val="24"/>
          <w:szCs w:val="24"/>
        </w:rPr>
        <w:t>о</w:t>
      </w:r>
      <w:r w:rsidRPr="004F479D">
        <w:rPr>
          <w:sz w:val="24"/>
          <w:szCs w:val="24"/>
        </w:rPr>
        <w:t xml:space="preserve">ектов </w:t>
      </w:r>
      <w:r>
        <w:rPr>
          <w:sz w:val="24"/>
          <w:szCs w:val="24"/>
        </w:rPr>
        <w:t>социальной направленности</w:t>
      </w:r>
      <w:r w:rsidRPr="004F479D">
        <w:rPr>
          <w:sz w:val="24"/>
          <w:szCs w:val="24"/>
        </w:rPr>
        <w:t xml:space="preserve"> на территории Нижневартовского района</w:t>
      </w:r>
      <w:r w:rsidR="00E754B8">
        <w:rPr>
          <w:sz w:val="24"/>
          <w:szCs w:val="24"/>
        </w:rPr>
        <w:t>.</w:t>
      </w:r>
    </w:p>
    <w:p w:rsidR="00DE433D" w:rsidRPr="00FE38F5" w:rsidRDefault="00DE433D" w:rsidP="00DE433D">
      <w:pPr>
        <w:jc w:val="both"/>
        <w:rPr>
          <w:sz w:val="24"/>
          <w:szCs w:val="24"/>
        </w:rPr>
      </w:pPr>
      <w:r>
        <w:rPr>
          <w:sz w:val="24"/>
          <w:szCs w:val="24"/>
        </w:rPr>
        <w:tab/>
      </w:r>
      <w:r w:rsidRPr="00FE38F5">
        <w:rPr>
          <w:sz w:val="24"/>
          <w:szCs w:val="24"/>
        </w:rPr>
        <w:t>В целях выявления в прилагаемом муниципальном нормативном правовом акте пол</w:t>
      </w:r>
      <w:r w:rsidRPr="00FE38F5">
        <w:rPr>
          <w:sz w:val="24"/>
          <w:szCs w:val="24"/>
        </w:rPr>
        <w:t>о</w:t>
      </w:r>
      <w:r w:rsidRPr="00FE38F5">
        <w:rPr>
          <w:sz w:val="24"/>
          <w:szCs w:val="24"/>
        </w:rPr>
        <w:t>жений, необоснованно затрудняющих ведение предпринимательской и инвестиционной де</w:t>
      </w:r>
      <w:r w:rsidRPr="00FE38F5">
        <w:rPr>
          <w:sz w:val="24"/>
          <w:szCs w:val="24"/>
        </w:rPr>
        <w:t>я</w:t>
      </w:r>
      <w:r w:rsidRPr="00FE38F5">
        <w:rPr>
          <w:sz w:val="24"/>
          <w:szCs w:val="24"/>
        </w:rPr>
        <w:t xml:space="preserve">тельности, </w:t>
      </w:r>
      <w:r w:rsidRPr="00DE433D">
        <w:rPr>
          <w:sz w:val="24"/>
          <w:szCs w:val="24"/>
        </w:rPr>
        <w:t xml:space="preserve">управление </w:t>
      </w:r>
      <w:proofErr w:type="gramStart"/>
      <w:r w:rsidRPr="00DE433D">
        <w:rPr>
          <w:sz w:val="24"/>
          <w:szCs w:val="24"/>
        </w:rPr>
        <w:t>организации деятельности администрации района</w:t>
      </w:r>
      <w:proofErr w:type="gramEnd"/>
      <w:r w:rsidRPr="00DE433D">
        <w:rPr>
          <w:sz w:val="24"/>
          <w:szCs w:val="24"/>
        </w:rPr>
        <w:t xml:space="preserve"> проводит</w:t>
      </w:r>
      <w:r w:rsidRPr="00FE38F5">
        <w:rPr>
          <w:sz w:val="24"/>
          <w:szCs w:val="24"/>
        </w:rPr>
        <w:t xml:space="preserve"> публи</w:t>
      </w:r>
      <w:r w:rsidRPr="00FE38F5">
        <w:rPr>
          <w:sz w:val="24"/>
          <w:szCs w:val="24"/>
        </w:rPr>
        <w:t>ч</w:t>
      </w:r>
      <w:r w:rsidRPr="00FE38F5">
        <w:rPr>
          <w:sz w:val="24"/>
          <w:szCs w:val="24"/>
        </w:rPr>
        <w:t>ные консультации. В рамках консультаций все заинтересованные лица вправе направить свои предложения и замечания по прилагаемому муниципальному нормативному правовому акту.</w:t>
      </w:r>
    </w:p>
    <w:p w:rsidR="00B96B01" w:rsidRDefault="00B96B01" w:rsidP="00600CAE">
      <w:pPr>
        <w:autoSpaceDE w:val="0"/>
        <w:autoSpaceDN w:val="0"/>
        <w:spacing w:after="120"/>
        <w:jc w:val="both"/>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2. Цели правового регулирования:</w:t>
      </w:r>
    </w:p>
    <w:p w:rsidR="00B96B01" w:rsidRDefault="00B96B01" w:rsidP="00A50B3C">
      <w:pPr>
        <w:ind w:firstLine="709"/>
        <w:jc w:val="both"/>
        <w:rPr>
          <w:sz w:val="24"/>
          <w:szCs w:val="24"/>
        </w:rPr>
      </w:pPr>
      <w:r w:rsidRPr="005F44DC">
        <w:rPr>
          <w:sz w:val="24"/>
          <w:szCs w:val="24"/>
        </w:rPr>
        <w:t xml:space="preserve">Данный </w:t>
      </w:r>
      <w:r>
        <w:rPr>
          <w:sz w:val="24"/>
          <w:szCs w:val="24"/>
        </w:rPr>
        <w:t>П</w:t>
      </w:r>
      <w:r w:rsidRPr="005F44DC">
        <w:rPr>
          <w:sz w:val="24"/>
          <w:szCs w:val="24"/>
        </w:rPr>
        <w:t>орядок предоставляет возможность получения субсидий негосударстве</w:t>
      </w:r>
      <w:r w:rsidRPr="005F44DC">
        <w:rPr>
          <w:sz w:val="24"/>
          <w:szCs w:val="24"/>
        </w:rPr>
        <w:t>н</w:t>
      </w:r>
      <w:r w:rsidRPr="005F44DC">
        <w:rPr>
          <w:sz w:val="24"/>
          <w:szCs w:val="24"/>
        </w:rPr>
        <w:t>ным организациям, в том числе социально ориентированным некоммерческим организациям</w:t>
      </w:r>
      <w:r w:rsidR="00E754B8">
        <w:rPr>
          <w:sz w:val="24"/>
          <w:szCs w:val="24"/>
        </w:rPr>
        <w:t xml:space="preserve"> </w:t>
      </w:r>
      <w:r w:rsidR="00E754B8">
        <w:rPr>
          <w:sz w:val="24"/>
        </w:rPr>
        <w:t>(далее – СОНКО)</w:t>
      </w:r>
      <w:r w:rsidRPr="005F44DC">
        <w:rPr>
          <w:sz w:val="24"/>
          <w:szCs w:val="24"/>
        </w:rPr>
        <w:t xml:space="preserve"> на реализацию проектов социальной нап</w:t>
      </w:r>
      <w:r>
        <w:rPr>
          <w:sz w:val="24"/>
          <w:szCs w:val="24"/>
        </w:rPr>
        <w:t>равленности для жителей района.</w:t>
      </w:r>
    </w:p>
    <w:p w:rsidR="00B96B01" w:rsidRPr="00A50B3C" w:rsidRDefault="00B96B01" w:rsidP="00A50B3C">
      <w:pPr>
        <w:ind w:firstLine="709"/>
        <w:jc w:val="both"/>
        <w:rPr>
          <w:sz w:val="24"/>
        </w:rPr>
      </w:pPr>
    </w:p>
    <w:p w:rsidR="00600CAE" w:rsidRPr="006A787A" w:rsidRDefault="00600CAE" w:rsidP="00A50B3C">
      <w:pPr>
        <w:autoSpaceDE w:val="0"/>
        <w:autoSpaceDN w:val="0"/>
        <w:spacing w:after="120"/>
        <w:rPr>
          <w:sz w:val="24"/>
          <w:szCs w:val="24"/>
        </w:rPr>
      </w:pPr>
      <w:r w:rsidRPr="006A787A">
        <w:rPr>
          <w:sz w:val="24"/>
          <w:szCs w:val="24"/>
        </w:rPr>
        <w:t>3. Сроки действия правового регулирования:</w:t>
      </w:r>
      <w:r w:rsidR="00A50B3C">
        <w:rPr>
          <w:sz w:val="24"/>
          <w:szCs w:val="24"/>
        </w:rPr>
        <w:t xml:space="preserve"> </w:t>
      </w:r>
      <w:r w:rsidR="00A50B3C" w:rsidRPr="004F5891">
        <w:rPr>
          <w:sz w:val="24"/>
          <w:u w:val="single"/>
        </w:rPr>
        <w:t>201</w:t>
      </w:r>
      <w:r w:rsidR="00A50B3C">
        <w:rPr>
          <w:sz w:val="24"/>
          <w:u w:val="single"/>
        </w:rPr>
        <w:t>9</w:t>
      </w:r>
      <w:r w:rsidR="00A50B3C" w:rsidRPr="004F5891">
        <w:rPr>
          <w:sz w:val="24"/>
          <w:u w:val="single"/>
        </w:rPr>
        <w:t>–2025 годы и на период до 2030 года</w:t>
      </w:r>
    </w:p>
    <w:p w:rsidR="00600CAE" w:rsidRPr="006A787A" w:rsidRDefault="00600CAE" w:rsidP="00600CAE">
      <w:pPr>
        <w:autoSpaceDE w:val="0"/>
        <w:autoSpaceDN w:val="0"/>
        <w:spacing w:after="120"/>
        <w:jc w:val="both"/>
        <w:rPr>
          <w:sz w:val="24"/>
          <w:szCs w:val="24"/>
        </w:rPr>
      </w:pPr>
      <w:r w:rsidRPr="006A787A">
        <w:rPr>
          <w:sz w:val="24"/>
          <w:szCs w:val="24"/>
        </w:rPr>
        <w:t>4. Группа участников отношений правового регулирования и их количественная оценка:</w:t>
      </w:r>
    </w:p>
    <w:p w:rsidR="00600CAE" w:rsidRPr="00697449" w:rsidRDefault="00324E20" w:rsidP="00600CAE">
      <w:pPr>
        <w:autoSpaceDE w:val="0"/>
        <w:autoSpaceDN w:val="0"/>
        <w:rPr>
          <w:sz w:val="24"/>
        </w:rPr>
      </w:pPr>
      <w:r>
        <w:rPr>
          <w:sz w:val="24"/>
        </w:rPr>
        <w:tab/>
      </w:r>
      <w:r w:rsidR="00697449">
        <w:rPr>
          <w:sz w:val="24"/>
        </w:rPr>
        <w:t xml:space="preserve">10 </w:t>
      </w:r>
      <w:r w:rsidR="00697449" w:rsidRPr="00697449">
        <w:rPr>
          <w:sz w:val="24"/>
        </w:rPr>
        <w:t>социально ориентированны</w:t>
      </w:r>
      <w:r w:rsidR="00697449">
        <w:rPr>
          <w:sz w:val="24"/>
        </w:rPr>
        <w:t>х</w:t>
      </w:r>
      <w:r w:rsidR="00697449" w:rsidRPr="00697449">
        <w:rPr>
          <w:sz w:val="24"/>
        </w:rPr>
        <w:t xml:space="preserve"> некоммерчески</w:t>
      </w:r>
      <w:r w:rsidR="00697449">
        <w:rPr>
          <w:sz w:val="24"/>
        </w:rPr>
        <w:t>х</w:t>
      </w:r>
      <w:r w:rsidR="00697449" w:rsidRPr="00697449">
        <w:rPr>
          <w:sz w:val="24"/>
        </w:rPr>
        <w:t xml:space="preserve"> организаци</w:t>
      </w:r>
      <w:r w:rsidR="00697449">
        <w:rPr>
          <w:sz w:val="24"/>
        </w:rPr>
        <w:t>й</w:t>
      </w:r>
      <w:r w:rsidR="00697449" w:rsidRPr="00697449">
        <w:rPr>
          <w:sz w:val="24"/>
        </w:rPr>
        <w:t>, не являющи</w:t>
      </w:r>
      <w:r w:rsidR="00697449">
        <w:rPr>
          <w:sz w:val="24"/>
        </w:rPr>
        <w:t>х</w:t>
      </w:r>
      <w:r w:rsidR="00697449" w:rsidRPr="00697449">
        <w:rPr>
          <w:sz w:val="24"/>
        </w:rPr>
        <w:t>ся гос</w:t>
      </w:r>
      <w:r w:rsidR="00697449" w:rsidRPr="00697449">
        <w:rPr>
          <w:sz w:val="24"/>
        </w:rPr>
        <w:t>у</w:t>
      </w:r>
      <w:r w:rsidR="00697449" w:rsidRPr="00697449">
        <w:rPr>
          <w:sz w:val="24"/>
        </w:rPr>
        <w:t>дарственными (муниципальными) учреждениями</w:t>
      </w:r>
      <w:r w:rsidR="00697449">
        <w:rPr>
          <w:sz w:val="24"/>
        </w:rPr>
        <w:t>.</w:t>
      </w:r>
    </w:p>
    <w:p w:rsidR="00697449" w:rsidRPr="006A787A" w:rsidRDefault="00697449" w:rsidP="00600CAE">
      <w:pPr>
        <w:autoSpaceDE w:val="0"/>
        <w:autoSpaceDN w:val="0"/>
        <w:rPr>
          <w:sz w:val="24"/>
          <w:szCs w:val="24"/>
        </w:rPr>
      </w:pPr>
    </w:p>
    <w:p w:rsidR="004D5142" w:rsidRDefault="00600CAE" w:rsidP="00697449">
      <w:pPr>
        <w:autoSpaceDE w:val="0"/>
        <w:autoSpaceDN w:val="0"/>
        <w:spacing w:after="120"/>
        <w:jc w:val="both"/>
        <w:rPr>
          <w:sz w:val="24"/>
          <w:szCs w:val="24"/>
        </w:rPr>
      </w:pPr>
      <w:r w:rsidRPr="006A787A">
        <w:rPr>
          <w:sz w:val="24"/>
          <w:szCs w:val="24"/>
        </w:rPr>
        <w:lastRenderedPageBreak/>
        <w:t>5. Обязанности или ограничения для субъектов предпринимательской и инвестиционной деятельности, порядок организации их исполнения:</w:t>
      </w:r>
      <w:r w:rsidR="00697449">
        <w:rPr>
          <w:sz w:val="24"/>
          <w:szCs w:val="24"/>
        </w:rPr>
        <w:t xml:space="preserve"> </w:t>
      </w:r>
    </w:p>
    <w:p w:rsidR="00E754B8" w:rsidRDefault="00324E20" w:rsidP="00697449">
      <w:pPr>
        <w:autoSpaceDE w:val="0"/>
        <w:autoSpaceDN w:val="0"/>
        <w:spacing w:after="120"/>
        <w:jc w:val="both"/>
        <w:rPr>
          <w:sz w:val="24"/>
          <w:szCs w:val="24"/>
        </w:rPr>
      </w:pPr>
      <w:r>
        <w:rPr>
          <w:sz w:val="24"/>
          <w:szCs w:val="24"/>
        </w:rPr>
        <w:tab/>
      </w:r>
      <w:r w:rsidR="00E754B8">
        <w:rPr>
          <w:sz w:val="24"/>
          <w:szCs w:val="24"/>
        </w:rPr>
        <w:t xml:space="preserve">обязанности СОНКО предусмотрены в </w:t>
      </w:r>
      <w:r w:rsidR="004D5142">
        <w:rPr>
          <w:sz w:val="24"/>
          <w:szCs w:val="24"/>
        </w:rPr>
        <w:t>п</w:t>
      </w:r>
      <w:r w:rsidR="00697449" w:rsidRPr="004D5142">
        <w:rPr>
          <w:sz w:val="24"/>
          <w:szCs w:val="24"/>
        </w:rPr>
        <w:t>риложени</w:t>
      </w:r>
      <w:r w:rsidR="00E754B8">
        <w:rPr>
          <w:sz w:val="24"/>
          <w:szCs w:val="24"/>
        </w:rPr>
        <w:t>и</w:t>
      </w:r>
      <w:r w:rsidR="00697449" w:rsidRPr="004D5142">
        <w:rPr>
          <w:sz w:val="24"/>
          <w:szCs w:val="24"/>
        </w:rPr>
        <w:t xml:space="preserve"> 1 к муниципальной программе</w:t>
      </w:r>
      <w:r w:rsidR="004D5142" w:rsidRPr="004D5142">
        <w:rPr>
          <w:sz w:val="24"/>
          <w:szCs w:val="24"/>
        </w:rPr>
        <w:t xml:space="preserve"> </w:t>
      </w:r>
      <w:r w:rsidR="00B96B01" w:rsidRPr="00A013B0">
        <w:rPr>
          <w:sz w:val="24"/>
          <w:szCs w:val="24"/>
        </w:rPr>
        <w:t>«Развитие гражданского общества Нижневартовского района»</w:t>
      </w:r>
      <w:r w:rsidR="00B96B01">
        <w:rPr>
          <w:sz w:val="24"/>
          <w:szCs w:val="24"/>
        </w:rPr>
        <w:t xml:space="preserve"> </w:t>
      </w:r>
      <w:r w:rsidR="004D5142" w:rsidRPr="004D5142">
        <w:rPr>
          <w:sz w:val="24"/>
          <w:szCs w:val="24"/>
        </w:rPr>
        <w:t>п. 2.2</w:t>
      </w:r>
      <w:r w:rsidR="004D5142">
        <w:rPr>
          <w:sz w:val="24"/>
          <w:szCs w:val="24"/>
        </w:rPr>
        <w:t>, п. 2.3.</w:t>
      </w:r>
      <w:r w:rsidR="00E754B8">
        <w:rPr>
          <w:sz w:val="24"/>
          <w:szCs w:val="24"/>
        </w:rPr>
        <w:t xml:space="preserve"> Порядка;</w:t>
      </w:r>
    </w:p>
    <w:p w:rsidR="00B96B01" w:rsidRPr="006A787A" w:rsidRDefault="00324E20" w:rsidP="00697449">
      <w:pPr>
        <w:autoSpaceDE w:val="0"/>
        <w:autoSpaceDN w:val="0"/>
        <w:spacing w:after="120"/>
        <w:jc w:val="both"/>
        <w:rPr>
          <w:sz w:val="24"/>
          <w:szCs w:val="24"/>
        </w:rPr>
      </w:pPr>
      <w:r>
        <w:rPr>
          <w:sz w:val="24"/>
          <w:szCs w:val="24"/>
        </w:rPr>
        <w:tab/>
      </w:r>
      <w:r w:rsidR="00B96B01">
        <w:rPr>
          <w:sz w:val="24"/>
          <w:szCs w:val="24"/>
        </w:rPr>
        <w:t>порядок организации исполнения обязанностей для СОНКО указан в п. 3.1-3.3. П</w:t>
      </w:r>
      <w:r w:rsidR="00B96B01">
        <w:rPr>
          <w:sz w:val="24"/>
          <w:szCs w:val="24"/>
        </w:rPr>
        <w:t>о</w:t>
      </w:r>
      <w:r w:rsidR="00B96B01">
        <w:rPr>
          <w:sz w:val="24"/>
          <w:szCs w:val="24"/>
        </w:rPr>
        <w:t>рядка.</w:t>
      </w:r>
    </w:p>
    <w:p w:rsidR="00600CAE" w:rsidRPr="006A787A" w:rsidRDefault="00600CAE" w:rsidP="00600CAE">
      <w:pPr>
        <w:autoSpaceDE w:val="0"/>
        <w:autoSpaceDN w:val="0"/>
        <w:spacing w:after="120"/>
        <w:jc w:val="both"/>
        <w:rPr>
          <w:sz w:val="24"/>
          <w:szCs w:val="24"/>
        </w:rPr>
      </w:pPr>
      <w:r w:rsidRPr="006A787A">
        <w:rPr>
          <w:sz w:val="24"/>
          <w:szCs w:val="24"/>
        </w:rPr>
        <w:t>6. Оценка расходов субъектов предпринимательской и инвестиционной деятельности, св</w:t>
      </w:r>
      <w:r w:rsidRPr="006A787A">
        <w:rPr>
          <w:sz w:val="24"/>
          <w:szCs w:val="24"/>
        </w:rPr>
        <w:t>я</w:t>
      </w:r>
      <w:r w:rsidRPr="006A787A">
        <w:rPr>
          <w:sz w:val="24"/>
          <w:szCs w:val="24"/>
        </w:rPr>
        <w:t>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324E20" w:rsidRPr="005F44DC" w:rsidRDefault="00324E20" w:rsidP="00324E20">
      <w:pPr>
        <w:contextualSpacing/>
        <w:jc w:val="both"/>
        <w:rPr>
          <w:sz w:val="24"/>
          <w:szCs w:val="24"/>
        </w:rPr>
      </w:pPr>
      <w:r w:rsidRPr="005F44DC">
        <w:rPr>
          <w:sz w:val="24"/>
          <w:szCs w:val="24"/>
        </w:rPr>
        <w:t>Расходы на подачу заявки одного субъекта:</w:t>
      </w:r>
    </w:p>
    <w:p w:rsidR="00324E20" w:rsidRPr="005F44DC" w:rsidRDefault="00324E20" w:rsidP="00324E20">
      <w:pPr>
        <w:jc w:val="both"/>
        <w:rPr>
          <w:sz w:val="24"/>
          <w:szCs w:val="24"/>
        </w:rPr>
      </w:pPr>
      <w:r w:rsidRPr="005F44DC">
        <w:rPr>
          <w:sz w:val="24"/>
          <w:szCs w:val="24"/>
        </w:rPr>
        <w:t>Средняя стоимость 1 упаковки бумаги формата А 4 составляет 0,2</w:t>
      </w:r>
      <w:r>
        <w:rPr>
          <w:sz w:val="24"/>
          <w:szCs w:val="24"/>
        </w:rPr>
        <w:t>5</w:t>
      </w:r>
      <w:r w:rsidRPr="005F44DC">
        <w:rPr>
          <w:sz w:val="24"/>
          <w:szCs w:val="24"/>
        </w:rPr>
        <w:t xml:space="preserve"> тыс. руб. Расход бумаги для подачи заявления с пакетом документов составляет </w:t>
      </w:r>
      <w:r>
        <w:rPr>
          <w:sz w:val="24"/>
          <w:szCs w:val="24"/>
        </w:rPr>
        <w:t>5</w:t>
      </w:r>
      <w:r w:rsidRPr="005F44DC">
        <w:rPr>
          <w:sz w:val="24"/>
          <w:szCs w:val="24"/>
        </w:rPr>
        <w:t>0 ли</w:t>
      </w:r>
      <w:r w:rsidR="00DE433D">
        <w:rPr>
          <w:sz w:val="24"/>
          <w:szCs w:val="24"/>
        </w:rPr>
        <w:t>стов, т.е. 0,</w:t>
      </w:r>
      <w:r w:rsidRPr="005F44DC">
        <w:rPr>
          <w:sz w:val="24"/>
          <w:szCs w:val="24"/>
        </w:rPr>
        <w:t>0</w:t>
      </w:r>
      <w:r w:rsidR="00DE433D">
        <w:rPr>
          <w:sz w:val="24"/>
          <w:szCs w:val="24"/>
        </w:rPr>
        <w:t>2</w:t>
      </w:r>
      <w:r w:rsidRPr="005F44DC">
        <w:rPr>
          <w:sz w:val="24"/>
          <w:szCs w:val="24"/>
        </w:rPr>
        <w:t xml:space="preserve"> тыс. руб.</w:t>
      </w:r>
    </w:p>
    <w:p w:rsidR="00324E20" w:rsidRPr="005F44DC" w:rsidRDefault="00324E20" w:rsidP="00324E20">
      <w:pPr>
        <w:rPr>
          <w:sz w:val="24"/>
          <w:szCs w:val="24"/>
        </w:rPr>
      </w:pPr>
      <w:r w:rsidRPr="005F44DC">
        <w:rPr>
          <w:sz w:val="24"/>
          <w:szCs w:val="24"/>
        </w:rPr>
        <w:t>Транспортные расходы на доставку документов на одного субъекта:</w:t>
      </w:r>
    </w:p>
    <w:p w:rsidR="00324E20" w:rsidRPr="005F44DC" w:rsidRDefault="00324E20" w:rsidP="00324E20">
      <w:pPr>
        <w:contextualSpacing/>
        <w:jc w:val="both"/>
        <w:rPr>
          <w:sz w:val="24"/>
          <w:szCs w:val="24"/>
        </w:rPr>
      </w:pPr>
      <w:r w:rsidRPr="005F44DC">
        <w:rPr>
          <w:sz w:val="24"/>
          <w:szCs w:val="24"/>
        </w:rPr>
        <w:t>средняя стои</w:t>
      </w:r>
      <w:r>
        <w:rPr>
          <w:sz w:val="24"/>
          <w:szCs w:val="24"/>
        </w:rPr>
        <w:t>мость бензина АИ-92 составляет 43</w:t>
      </w:r>
      <w:r w:rsidRPr="005F44DC">
        <w:rPr>
          <w:sz w:val="24"/>
          <w:szCs w:val="24"/>
        </w:rPr>
        <w:t xml:space="preserve"> </w:t>
      </w:r>
      <w:r>
        <w:rPr>
          <w:sz w:val="24"/>
          <w:szCs w:val="24"/>
        </w:rPr>
        <w:t xml:space="preserve">руб./л. при среднем расстоянии </w:t>
      </w:r>
      <w:r w:rsidR="00DE433D">
        <w:rPr>
          <w:sz w:val="24"/>
          <w:szCs w:val="24"/>
        </w:rPr>
        <w:t>3</w:t>
      </w:r>
      <w:r>
        <w:rPr>
          <w:sz w:val="24"/>
          <w:szCs w:val="24"/>
        </w:rPr>
        <w:t>0</w:t>
      </w:r>
      <w:r w:rsidRPr="005F44DC">
        <w:rPr>
          <w:sz w:val="24"/>
          <w:szCs w:val="24"/>
        </w:rPr>
        <w:t xml:space="preserve"> км и среднем расходе топлива 10 л на 100 км размер расходов со</w:t>
      </w:r>
      <w:r w:rsidR="00DE433D">
        <w:rPr>
          <w:sz w:val="24"/>
          <w:szCs w:val="24"/>
        </w:rPr>
        <w:t xml:space="preserve">ставляет </w:t>
      </w:r>
      <w:r w:rsidRPr="005F44DC">
        <w:rPr>
          <w:sz w:val="24"/>
          <w:szCs w:val="24"/>
        </w:rPr>
        <w:t>0,</w:t>
      </w:r>
      <w:r w:rsidR="00DE433D">
        <w:rPr>
          <w:sz w:val="24"/>
          <w:szCs w:val="24"/>
        </w:rPr>
        <w:t>13</w:t>
      </w:r>
      <w:r w:rsidRPr="005F44DC">
        <w:rPr>
          <w:sz w:val="24"/>
          <w:szCs w:val="24"/>
        </w:rPr>
        <w:t xml:space="preserve"> тыс. рублей. </w:t>
      </w:r>
    </w:p>
    <w:p w:rsidR="00600CAE" w:rsidRDefault="00324E20" w:rsidP="00324E20">
      <w:pPr>
        <w:pBdr>
          <w:top w:val="single" w:sz="4" w:space="1" w:color="auto"/>
        </w:pBdr>
        <w:autoSpaceDE w:val="0"/>
        <w:autoSpaceDN w:val="0"/>
        <w:jc w:val="center"/>
        <w:rPr>
          <w:sz w:val="24"/>
          <w:szCs w:val="24"/>
        </w:rPr>
      </w:pPr>
      <w:r w:rsidRPr="005F44DC">
        <w:rPr>
          <w:sz w:val="24"/>
          <w:szCs w:val="24"/>
        </w:rPr>
        <w:t>Итого расходы составят 0,</w:t>
      </w:r>
      <w:r w:rsidR="00DE433D">
        <w:rPr>
          <w:sz w:val="24"/>
          <w:szCs w:val="24"/>
        </w:rPr>
        <w:t>15</w:t>
      </w:r>
      <w:r w:rsidRPr="005F44DC">
        <w:rPr>
          <w:sz w:val="24"/>
          <w:szCs w:val="24"/>
        </w:rPr>
        <w:t xml:space="preserve"> тыс. рублей.</w:t>
      </w:r>
    </w:p>
    <w:p w:rsidR="00DE433D" w:rsidRPr="006A787A" w:rsidRDefault="00DE433D" w:rsidP="00324E20">
      <w:pPr>
        <w:pBdr>
          <w:top w:val="single" w:sz="4" w:space="1" w:color="auto"/>
        </w:pBdr>
        <w:autoSpaceDE w:val="0"/>
        <w:autoSpaceDN w:val="0"/>
        <w:jc w:val="center"/>
        <w:rPr>
          <w:sz w:val="24"/>
          <w:szCs w:val="24"/>
        </w:rPr>
      </w:pPr>
    </w:p>
    <w:p w:rsidR="00600CAE" w:rsidRPr="00DE433D" w:rsidRDefault="00600CAE" w:rsidP="00DE433D">
      <w:pPr>
        <w:autoSpaceDE w:val="0"/>
        <w:autoSpaceDN w:val="0"/>
        <w:spacing w:after="120"/>
        <w:jc w:val="both"/>
        <w:rPr>
          <w:sz w:val="24"/>
          <w:szCs w:val="24"/>
        </w:rPr>
      </w:pPr>
      <w:r w:rsidRPr="006A787A">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w:t>
      </w:r>
      <w:r w:rsidRPr="006A787A">
        <w:rPr>
          <w:sz w:val="24"/>
          <w:szCs w:val="24"/>
        </w:rPr>
        <w:t>о</w:t>
      </w:r>
      <w:r w:rsidRPr="006A787A">
        <w:rPr>
          <w:sz w:val="24"/>
          <w:szCs w:val="24"/>
        </w:rPr>
        <w:t>вания:</w:t>
      </w:r>
      <w:r w:rsidR="00DE433D">
        <w:rPr>
          <w:sz w:val="24"/>
          <w:szCs w:val="24"/>
        </w:rPr>
        <w:t xml:space="preserve"> отсутствуют</w:t>
      </w: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6A787A" w:rsidRDefault="00655327" w:rsidP="00AF79E9">
            <w:pPr>
              <w:autoSpaceDE w:val="0"/>
              <w:autoSpaceDN w:val="0"/>
              <w:adjustRightInd w:val="0"/>
              <w:jc w:val="both"/>
              <w:rPr>
                <w:sz w:val="24"/>
                <w:szCs w:val="24"/>
              </w:rPr>
            </w:pPr>
            <w:r>
              <w:rPr>
                <w:sz w:val="24"/>
              </w:rPr>
              <w:t>П</w:t>
            </w:r>
            <w:r w:rsidR="00AF79E9" w:rsidRPr="005C6034">
              <w:rPr>
                <w:sz w:val="24"/>
              </w:rPr>
              <w:t xml:space="preserve">остановление </w:t>
            </w:r>
            <w:r w:rsidR="00AF79E9" w:rsidRPr="00A013B0">
              <w:rPr>
                <w:sz w:val="24"/>
                <w:szCs w:val="24"/>
              </w:rPr>
              <w:t>администрации Нижневартовского района от 26.10.2018 № 2430 «Об утверждении муниципальной программы «Развитие гражданского общества Нижн</w:t>
            </w:r>
            <w:r w:rsidR="00AF79E9" w:rsidRPr="00A013B0">
              <w:rPr>
                <w:sz w:val="24"/>
                <w:szCs w:val="24"/>
              </w:rPr>
              <w:t>е</w:t>
            </w:r>
            <w:r w:rsidR="00AF79E9" w:rsidRPr="00A013B0">
              <w:rPr>
                <w:sz w:val="24"/>
                <w:szCs w:val="24"/>
              </w:rPr>
              <w:t>вартовског</w:t>
            </w:r>
            <w:bookmarkStart w:id="0" w:name="_GoBack"/>
            <w:bookmarkEnd w:id="0"/>
            <w:r w:rsidR="00AF79E9" w:rsidRPr="00A013B0">
              <w:rPr>
                <w:sz w:val="24"/>
                <w:szCs w:val="24"/>
              </w:rPr>
              <w:t>о района»</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6A787A" w:rsidRDefault="00AF79E9" w:rsidP="00AF79E9">
            <w:pPr>
              <w:autoSpaceDE w:val="0"/>
              <w:autoSpaceDN w:val="0"/>
              <w:spacing w:after="120"/>
              <w:jc w:val="both"/>
              <w:rPr>
                <w:sz w:val="24"/>
                <w:szCs w:val="24"/>
              </w:rPr>
            </w:pPr>
            <w:r>
              <w:rPr>
                <w:sz w:val="24"/>
                <w:szCs w:val="24"/>
              </w:rPr>
              <w:t>П</w:t>
            </w:r>
            <w:r w:rsidRPr="00FE38F5">
              <w:rPr>
                <w:sz w:val="24"/>
                <w:szCs w:val="24"/>
              </w:rPr>
              <w:t>ояснительная записка к муниципальному нормативному</w:t>
            </w:r>
            <w:r>
              <w:rPr>
                <w:sz w:val="24"/>
                <w:szCs w:val="24"/>
              </w:rPr>
              <w:t xml:space="preserve"> правовому акту</w:t>
            </w:r>
          </w:p>
        </w:tc>
      </w:tr>
      <w:tr w:rsidR="00AF79E9" w:rsidRPr="006A787A" w:rsidTr="001D0F56">
        <w:tc>
          <w:tcPr>
            <w:tcW w:w="567" w:type="dxa"/>
            <w:shd w:val="clear" w:color="auto" w:fill="auto"/>
          </w:tcPr>
          <w:p w:rsidR="00AF79E9" w:rsidRPr="006A787A" w:rsidRDefault="00AF79E9" w:rsidP="001D0F56">
            <w:pPr>
              <w:autoSpaceDE w:val="0"/>
              <w:autoSpaceDN w:val="0"/>
              <w:spacing w:after="120"/>
              <w:jc w:val="center"/>
              <w:rPr>
                <w:sz w:val="24"/>
                <w:szCs w:val="24"/>
              </w:rPr>
            </w:pPr>
            <w:r>
              <w:rPr>
                <w:sz w:val="24"/>
                <w:szCs w:val="24"/>
              </w:rPr>
              <w:t>3.</w:t>
            </w:r>
          </w:p>
        </w:tc>
        <w:tc>
          <w:tcPr>
            <w:tcW w:w="9072" w:type="dxa"/>
            <w:shd w:val="clear" w:color="auto" w:fill="auto"/>
          </w:tcPr>
          <w:p w:rsidR="00AF79E9" w:rsidRPr="00FE38F5" w:rsidRDefault="00AF79E9" w:rsidP="001D0F56">
            <w:pPr>
              <w:autoSpaceDE w:val="0"/>
              <w:autoSpaceDN w:val="0"/>
              <w:spacing w:after="120"/>
              <w:jc w:val="both"/>
              <w:rPr>
                <w:sz w:val="24"/>
                <w:szCs w:val="24"/>
              </w:rPr>
            </w:pPr>
            <w:r>
              <w:rPr>
                <w:sz w:val="24"/>
                <w:szCs w:val="24"/>
              </w:rPr>
              <w:t>Опросный лист</w:t>
            </w:r>
          </w:p>
        </w:tc>
      </w:tr>
    </w:tbl>
    <w:p w:rsidR="00FE38F5" w:rsidRPr="00FE38F5" w:rsidRDefault="00FE38F5" w:rsidP="00FE38F5">
      <w:pPr>
        <w:ind w:right="-1"/>
        <w:rPr>
          <w:sz w:val="24"/>
          <w:szCs w:val="24"/>
        </w:rPr>
      </w:pPr>
    </w:p>
    <w:p w:rsidR="005C424A" w:rsidRDefault="00DD5778" w:rsidP="00DD5778">
      <w:pPr>
        <w:jc w:val="both"/>
      </w:pPr>
      <w:r>
        <w:t xml:space="preserve"> </w:t>
      </w:r>
    </w:p>
    <w:p w:rsidR="00D470C6" w:rsidRDefault="00D470C6" w:rsidP="001A4C6C">
      <w:pPr>
        <w:ind w:left="10206"/>
        <w:rPr>
          <w:rFonts w:ascii="Calibri" w:eastAsia="Calibri" w:hAnsi="Calibri"/>
          <w:sz w:val="22"/>
          <w:szCs w:val="22"/>
          <w:lang w:eastAsia="en-US"/>
        </w:rPr>
      </w:pPr>
    </w:p>
    <w:sectPr w:rsidR="00D470C6" w:rsidSect="009258AF">
      <w:headerReference w:type="default" r:id="rId9"/>
      <w:pgSz w:w="11906" w:h="16838"/>
      <w:pgMar w:top="851"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D53" w:rsidRDefault="00B24D53">
      <w:r>
        <w:separator/>
      </w:r>
    </w:p>
  </w:endnote>
  <w:endnote w:type="continuationSeparator" w:id="0">
    <w:p w:rsidR="00B24D53" w:rsidRDefault="00B24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D53" w:rsidRDefault="00B24D53">
      <w:r>
        <w:separator/>
      </w:r>
    </w:p>
  </w:footnote>
  <w:footnote w:type="continuationSeparator" w:id="0">
    <w:p w:rsidR="00B24D53" w:rsidRDefault="00B24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5D7EC7">
        <w:pPr>
          <w:pStyle w:val="a4"/>
          <w:jc w:val="center"/>
        </w:pPr>
        <w:r>
          <w:fldChar w:fldCharType="begin"/>
        </w:r>
        <w:r w:rsidR="00B52F86">
          <w:instrText>PAGE   \* MERGEFORMAT</w:instrText>
        </w:r>
        <w:r>
          <w:fldChar w:fldCharType="separate"/>
        </w:r>
        <w:r w:rsidR="00E613E1">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D70"/>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4E20"/>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89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5142"/>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D7EC7"/>
    <w:rsid w:val="005E1222"/>
    <w:rsid w:val="005E1675"/>
    <w:rsid w:val="005E2FF8"/>
    <w:rsid w:val="005E34D9"/>
    <w:rsid w:val="005E7833"/>
    <w:rsid w:val="005E796E"/>
    <w:rsid w:val="005F00C1"/>
    <w:rsid w:val="005F0A35"/>
    <w:rsid w:val="005F183E"/>
    <w:rsid w:val="005F2122"/>
    <w:rsid w:val="005F4916"/>
    <w:rsid w:val="00600CAE"/>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55327"/>
    <w:rsid w:val="00660380"/>
    <w:rsid w:val="006615A0"/>
    <w:rsid w:val="0066380A"/>
    <w:rsid w:val="006640A4"/>
    <w:rsid w:val="00665A1B"/>
    <w:rsid w:val="00666325"/>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449"/>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085"/>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58AF"/>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3B0"/>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0B3C"/>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AF79E9"/>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24D53"/>
    <w:rsid w:val="00B30B4C"/>
    <w:rsid w:val="00B339F1"/>
    <w:rsid w:val="00B3447F"/>
    <w:rsid w:val="00B34FBE"/>
    <w:rsid w:val="00B41A6F"/>
    <w:rsid w:val="00B44254"/>
    <w:rsid w:val="00B44779"/>
    <w:rsid w:val="00B45BA5"/>
    <w:rsid w:val="00B45CB6"/>
    <w:rsid w:val="00B516A3"/>
    <w:rsid w:val="00B52303"/>
    <w:rsid w:val="00B52F86"/>
    <w:rsid w:val="00B56A04"/>
    <w:rsid w:val="00B60BDB"/>
    <w:rsid w:val="00B60EB3"/>
    <w:rsid w:val="00B63E90"/>
    <w:rsid w:val="00B64315"/>
    <w:rsid w:val="00B6449A"/>
    <w:rsid w:val="00B65845"/>
    <w:rsid w:val="00B66923"/>
    <w:rsid w:val="00B7165E"/>
    <w:rsid w:val="00B86C0A"/>
    <w:rsid w:val="00B87595"/>
    <w:rsid w:val="00B92159"/>
    <w:rsid w:val="00B9430A"/>
    <w:rsid w:val="00B947AA"/>
    <w:rsid w:val="00B96B01"/>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778"/>
    <w:rsid w:val="00DD5947"/>
    <w:rsid w:val="00DD5C11"/>
    <w:rsid w:val="00DE29E4"/>
    <w:rsid w:val="00DE3E53"/>
    <w:rsid w:val="00DE433D"/>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3E1"/>
    <w:rsid w:val="00E6187C"/>
    <w:rsid w:val="00E63D11"/>
    <w:rsid w:val="00E66F70"/>
    <w:rsid w:val="00E67167"/>
    <w:rsid w:val="00E70224"/>
    <w:rsid w:val="00E74519"/>
    <w:rsid w:val="00E754B8"/>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E133F-C50F-4471-BF76-3F04D718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4</cp:revision>
  <cp:lastPrinted>2019-02-20T11:46:00Z</cp:lastPrinted>
  <dcterms:created xsi:type="dcterms:W3CDTF">2019-03-01T09:30:00Z</dcterms:created>
  <dcterms:modified xsi:type="dcterms:W3CDTF">2019-03-01T09:39:00Z</dcterms:modified>
</cp:coreProperties>
</file>